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83" w:rsidRDefault="003D2583" w:rsidP="003D2583">
      <w:pPr>
        <w:spacing w:after="0" w:line="320" w:lineRule="exact"/>
        <w:rPr>
          <w:rFonts w:ascii="Arial" w:hAnsi="Arial" w:cs="Arial"/>
          <w:b/>
        </w:rPr>
      </w:pPr>
    </w:p>
    <w:p w:rsidR="003D2583" w:rsidRDefault="003D2583" w:rsidP="003D2583">
      <w:pPr>
        <w:spacing w:after="0" w:line="320" w:lineRule="exact"/>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8890</wp:posOffset>
            </wp:positionV>
            <wp:extent cx="2476500" cy="558800"/>
            <wp:effectExtent l="19050" t="0" r="0" b="0"/>
            <wp:wrapSquare wrapText="bothSides"/>
            <wp:docPr id="2" name="Picture 1" descr="DPR 2013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R 2013 logo.small.jpg"/>
                    <pic:cNvPicPr/>
                  </pic:nvPicPr>
                  <pic:blipFill>
                    <a:blip r:embed="rId5" cstate="print"/>
                    <a:stretch>
                      <a:fillRect/>
                    </a:stretch>
                  </pic:blipFill>
                  <pic:spPr>
                    <a:xfrm>
                      <a:off x="0" y="0"/>
                      <a:ext cx="2476500" cy="558800"/>
                    </a:xfrm>
                    <a:prstGeom prst="rect">
                      <a:avLst/>
                    </a:prstGeom>
                  </pic:spPr>
                </pic:pic>
              </a:graphicData>
            </a:graphic>
          </wp:anchor>
        </w:drawing>
      </w:r>
    </w:p>
    <w:p w:rsidR="003D2583" w:rsidRDefault="003D2583" w:rsidP="003D2583">
      <w:pPr>
        <w:spacing w:after="0" w:line="320" w:lineRule="exact"/>
        <w:rPr>
          <w:rFonts w:ascii="Arial" w:hAnsi="Arial" w:cs="Arial"/>
          <w:b/>
        </w:rPr>
      </w:pPr>
    </w:p>
    <w:p w:rsidR="003D2583" w:rsidRDefault="003D2583" w:rsidP="003D2583">
      <w:pPr>
        <w:spacing w:after="0" w:line="320" w:lineRule="exact"/>
        <w:rPr>
          <w:rFonts w:ascii="Arial" w:hAnsi="Arial" w:cs="Arial"/>
          <w:b/>
        </w:rPr>
      </w:pPr>
    </w:p>
    <w:p w:rsidR="003D2583" w:rsidRDefault="003D2583" w:rsidP="003D2583">
      <w:pPr>
        <w:spacing w:after="0" w:line="320" w:lineRule="exact"/>
        <w:rPr>
          <w:rFonts w:ascii="Arial" w:hAnsi="Arial" w:cs="Arial"/>
          <w:b/>
        </w:rPr>
      </w:pPr>
    </w:p>
    <w:p w:rsidR="003D2583" w:rsidRDefault="009E5C7F" w:rsidP="003D2583">
      <w:pPr>
        <w:pStyle w:val="Header"/>
        <w:rPr>
          <w:rFonts w:ascii="Arial" w:hAnsi="Arial" w:cs="Arial"/>
          <w:b/>
          <w:color w:val="595959" w:themeColor="text1" w:themeTint="A6"/>
          <w:spacing w:val="20"/>
          <w:sz w:val="28"/>
          <w:szCs w:val="28"/>
        </w:rPr>
      </w:pPr>
      <w:r>
        <w:rPr>
          <w:rFonts w:ascii="Arial" w:hAnsi="Arial" w:cs="Arial"/>
          <w:b/>
          <w:color w:val="595959" w:themeColor="text1" w:themeTint="A6"/>
          <w:spacing w:val="20"/>
          <w:sz w:val="28"/>
          <w:szCs w:val="28"/>
        </w:rPr>
        <w:t>FACT SHEET</w:t>
      </w:r>
    </w:p>
    <w:p w:rsidR="009E5C7F" w:rsidRPr="009E5C7F" w:rsidRDefault="00920A32" w:rsidP="003D2583">
      <w:pPr>
        <w:pStyle w:val="Header"/>
        <w:rPr>
          <w:rFonts w:ascii="Arial" w:hAnsi="Arial" w:cs="Arial"/>
          <w:b/>
          <w:color w:val="595959" w:themeColor="text1" w:themeTint="A6"/>
          <w:spacing w:val="20"/>
        </w:rPr>
      </w:pPr>
      <w:r>
        <w:rPr>
          <w:rFonts w:ascii="Arial" w:hAnsi="Arial" w:cs="Arial"/>
          <w:b/>
          <w:color w:val="595959" w:themeColor="text1" w:themeTint="A6"/>
          <w:spacing w:val="20"/>
        </w:rPr>
        <w:t>February</w:t>
      </w:r>
      <w:r w:rsidR="009E5C7F" w:rsidRPr="009E5C7F">
        <w:rPr>
          <w:rFonts w:ascii="Arial" w:hAnsi="Arial" w:cs="Arial"/>
          <w:b/>
          <w:color w:val="595959" w:themeColor="text1" w:themeTint="A6"/>
          <w:spacing w:val="20"/>
        </w:rPr>
        <w:t xml:space="preserve"> 4, 2015</w:t>
      </w:r>
    </w:p>
    <w:p w:rsidR="003D2583" w:rsidRPr="009E5C7F" w:rsidRDefault="003D2583" w:rsidP="003D2583">
      <w:pPr>
        <w:pStyle w:val="Header"/>
        <w:rPr>
          <w:rFonts w:ascii="Arial" w:hAnsi="Arial" w:cs="Arial"/>
          <w:b/>
          <w:color w:val="595959" w:themeColor="text1" w:themeTint="A6"/>
        </w:rPr>
      </w:pPr>
    </w:p>
    <w:p w:rsidR="003D2583" w:rsidRPr="009E5C7F" w:rsidRDefault="003D2583" w:rsidP="003D2583">
      <w:pPr>
        <w:pStyle w:val="Header"/>
        <w:rPr>
          <w:rFonts w:ascii="Arial" w:hAnsi="Arial" w:cs="Arial"/>
          <w:color w:val="595959" w:themeColor="text1" w:themeTint="A6"/>
          <w:sz w:val="20"/>
          <w:szCs w:val="20"/>
        </w:rPr>
      </w:pPr>
      <w:r w:rsidRPr="009E5C7F">
        <w:rPr>
          <w:rFonts w:ascii="Arial" w:hAnsi="Arial" w:cs="Arial"/>
          <w:b/>
          <w:color w:val="595959" w:themeColor="text1" w:themeTint="A6"/>
          <w:sz w:val="20"/>
          <w:szCs w:val="20"/>
        </w:rPr>
        <w:t>Media Contact:</w:t>
      </w:r>
      <w:r w:rsidRPr="009E5C7F">
        <w:rPr>
          <w:rFonts w:ascii="Arial" w:hAnsi="Arial" w:cs="Arial"/>
          <w:color w:val="595959" w:themeColor="text1" w:themeTint="A6"/>
          <w:sz w:val="20"/>
          <w:szCs w:val="20"/>
        </w:rPr>
        <w:t xml:space="preserve"> </w:t>
      </w:r>
    </w:p>
    <w:p w:rsidR="003D2583" w:rsidRDefault="003D2583" w:rsidP="003D2583">
      <w:pPr>
        <w:pStyle w:val="Header"/>
        <w:rPr>
          <w:rFonts w:ascii="Arial" w:hAnsi="Arial" w:cs="Arial"/>
          <w:sz w:val="20"/>
          <w:szCs w:val="20"/>
        </w:rPr>
      </w:pPr>
      <w:r w:rsidRPr="009E5C7F">
        <w:rPr>
          <w:rFonts w:ascii="Arial" w:hAnsi="Arial" w:cs="Arial"/>
          <w:color w:val="595959" w:themeColor="text1" w:themeTint="A6"/>
          <w:sz w:val="20"/>
          <w:szCs w:val="20"/>
        </w:rPr>
        <w:softHyphen/>
        <w:t>Tracey Shell, Down Payment Resource, (404) 317-8922,</w:t>
      </w:r>
      <w:r w:rsidRPr="009E5C7F">
        <w:rPr>
          <w:rFonts w:ascii="Arial" w:hAnsi="Arial" w:cs="Arial"/>
          <w:color w:val="808080" w:themeColor="background1" w:themeShade="80"/>
          <w:sz w:val="20"/>
          <w:szCs w:val="20"/>
        </w:rPr>
        <w:t xml:space="preserve"> </w:t>
      </w:r>
      <w:hyperlink r:id="rId6" w:history="1">
        <w:r w:rsidRPr="009E5C7F">
          <w:rPr>
            <w:rStyle w:val="Hyperlink"/>
            <w:rFonts w:ascii="Arial" w:hAnsi="Arial" w:cs="Arial"/>
            <w:sz w:val="20"/>
            <w:szCs w:val="20"/>
          </w:rPr>
          <w:t xml:space="preserve">tshell@downpaymentresource.com </w:t>
        </w:r>
      </w:hyperlink>
    </w:p>
    <w:p w:rsidR="009E5C7F" w:rsidRPr="009E5C7F" w:rsidRDefault="009E5C7F" w:rsidP="003D2583">
      <w:pPr>
        <w:pStyle w:val="Header"/>
        <w:rPr>
          <w:rFonts w:ascii="Arial" w:hAnsi="Arial" w:cs="Arial"/>
          <w:color w:val="595959" w:themeColor="text1" w:themeTint="A6"/>
          <w:sz w:val="20"/>
          <w:szCs w:val="20"/>
        </w:rPr>
      </w:pPr>
      <w:r>
        <w:rPr>
          <w:rFonts w:ascii="Arial" w:hAnsi="Arial" w:cs="Arial"/>
          <w:noProof/>
          <w:sz w:val="20"/>
          <w:szCs w:val="20"/>
        </w:rPr>
        <w:drawing>
          <wp:inline distT="0" distB="0" distL="0" distR="0">
            <wp:extent cx="159065" cy="129319"/>
            <wp:effectExtent l="19050" t="0" r="0" b="0"/>
            <wp:docPr id="3" name="Picture 2" descr="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7" cstate="print"/>
                    <a:stretch>
                      <a:fillRect/>
                    </a:stretch>
                  </pic:blipFill>
                  <pic:spPr>
                    <a:xfrm>
                      <a:off x="0" y="0"/>
                      <a:ext cx="159192" cy="129422"/>
                    </a:xfrm>
                    <a:prstGeom prst="rect">
                      <a:avLst/>
                    </a:prstGeom>
                  </pic:spPr>
                </pic:pic>
              </a:graphicData>
            </a:graphic>
          </wp:inline>
        </w:drawing>
      </w:r>
      <w:r>
        <w:rPr>
          <w:rFonts w:ascii="Arial" w:hAnsi="Arial" w:cs="Arial"/>
          <w:sz w:val="20"/>
          <w:szCs w:val="20"/>
        </w:rPr>
        <w:t xml:space="preserve"> </w:t>
      </w:r>
      <w:hyperlink r:id="rId8" w:history="1">
        <w:r w:rsidRPr="009E5C7F">
          <w:rPr>
            <w:rStyle w:val="Hyperlink"/>
            <w:rFonts w:ascii="Arial" w:hAnsi="Arial" w:cs="Arial"/>
            <w:sz w:val="20"/>
            <w:szCs w:val="20"/>
          </w:rPr>
          <w:t>@</w:t>
        </w:r>
        <w:proofErr w:type="spellStart"/>
        <w:r w:rsidRPr="009E5C7F">
          <w:rPr>
            <w:rStyle w:val="Hyperlink"/>
            <w:rFonts w:ascii="Arial" w:hAnsi="Arial" w:cs="Arial"/>
            <w:sz w:val="20"/>
            <w:szCs w:val="20"/>
          </w:rPr>
          <w:t>dwnpmtresource</w:t>
        </w:r>
        <w:proofErr w:type="spellEnd"/>
      </w:hyperlink>
      <w:r>
        <w:rPr>
          <w:rFonts w:ascii="Arial" w:hAnsi="Arial" w:cs="Arial"/>
          <w:color w:val="595959" w:themeColor="text1" w:themeTint="A6"/>
          <w:sz w:val="20"/>
          <w:szCs w:val="20"/>
        </w:rPr>
        <w:t xml:space="preserve"> and </w:t>
      </w:r>
      <w:r w:rsidRPr="009E5C7F">
        <w:rPr>
          <w:rFonts w:ascii="Arial" w:hAnsi="Arial" w:cs="Arial"/>
          <w:color w:val="595959" w:themeColor="text1" w:themeTint="A6"/>
          <w:sz w:val="20"/>
          <w:szCs w:val="20"/>
        </w:rPr>
        <w:t>#</w:t>
      </w:r>
      <w:proofErr w:type="spellStart"/>
      <w:r w:rsidRPr="009E5C7F">
        <w:rPr>
          <w:rFonts w:ascii="Arial" w:hAnsi="Arial" w:cs="Arial"/>
          <w:color w:val="595959" w:themeColor="text1" w:themeTint="A6"/>
          <w:sz w:val="20"/>
          <w:szCs w:val="20"/>
        </w:rPr>
        <w:t>DPRIndex</w:t>
      </w:r>
      <w:proofErr w:type="spellEnd"/>
    </w:p>
    <w:p w:rsidR="009E5C7F" w:rsidRDefault="009E5C7F" w:rsidP="003D2583">
      <w:pPr>
        <w:spacing w:after="0" w:line="320" w:lineRule="exact"/>
        <w:rPr>
          <w:rFonts w:ascii="Arial" w:hAnsi="Arial" w:cs="Arial"/>
          <w:b/>
        </w:rPr>
      </w:pPr>
    </w:p>
    <w:p w:rsidR="00110306" w:rsidRPr="009E5C7F" w:rsidRDefault="009E5C7F" w:rsidP="009E5C7F">
      <w:pPr>
        <w:spacing w:after="0" w:line="320" w:lineRule="exact"/>
        <w:jc w:val="center"/>
        <w:rPr>
          <w:rFonts w:ascii="Arial" w:hAnsi="Arial" w:cs="Arial"/>
          <w:b/>
          <w:sz w:val="28"/>
          <w:szCs w:val="28"/>
        </w:rPr>
      </w:pPr>
      <w:r w:rsidRPr="009E5C7F">
        <w:rPr>
          <w:rFonts w:ascii="Arial" w:hAnsi="Arial" w:cs="Arial"/>
          <w:b/>
          <w:sz w:val="28"/>
          <w:szCs w:val="28"/>
        </w:rPr>
        <w:t>Down payment programs are widely available to today’s homebuyers</w:t>
      </w:r>
    </w:p>
    <w:p w:rsidR="009E5C7F" w:rsidRPr="009E5C7F" w:rsidRDefault="009E5C7F" w:rsidP="009E5C7F">
      <w:pPr>
        <w:spacing w:after="0" w:line="320" w:lineRule="exact"/>
        <w:jc w:val="center"/>
        <w:rPr>
          <w:rFonts w:ascii="Arial" w:hAnsi="Arial" w:cs="Arial"/>
          <w:sz w:val="26"/>
          <w:szCs w:val="26"/>
        </w:rPr>
      </w:pPr>
      <w:r w:rsidRPr="009E5C7F">
        <w:rPr>
          <w:rFonts w:ascii="Arial" w:hAnsi="Arial" w:cs="Arial"/>
          <w:sz w:val="26"/>
          <w:szCs w:val="26"/>
        </w:rPr>
        <w:t>Programs increased to 2,290 and 91% have funds available to buyers</w:t>
      </w:r>
    </w:p>
    <w:p w:rsidR="002B7505" w:rsidRDefault="002B7505" w:rsidP="002B7505">
      <w:pPr>
        <w:spacing w:after="0" w:line="320" w:lineRule="exact"/>
        <w:rPr>
          <w:rFonts w:ascii="Arial" w:hAnsi="Arial" w:cs="Arial"/>
          <w:b/>
        </w:rPr>
      </w:pPr>
    </w:p>
    <w:p w:rsidR="000C7F50" w:rsidRPr="00837DAD" w:rsidRDefault="000C7F50" w:rsidP="002B7505">
      <w:pPr>
        <w:spacing w:after="0" w:line="320" w:lineRule="exact"/>
        <w:rPr>
          <w:rFonts w:ascii="Arial" w:hAnsi="Arial" w:cs="Arial"/>
          <w:b/>
        </w:rPr>
      </w:pPr>
      <w:r w:rsidRPr="003A4E7B">
        <w:rPr>
          <w:rFonts w:ascii="Arial" w:hAnsi="Arial" w:cs="Arial"/>
          <w:b/>
        </w:rPr>
        <w:t>Down payment programs expand</w:t>
      </w:r>
    </w:p>
    <w:p w:rsidR="000C7F50" w:rsidRDefault="006D7C63" w:rsidP="002B7505">
      <w:pPr>
        <w:pStyle w:val="ListParagraph"/>
        <w:numPr>
          <w:ilvl w:val="0"/>
          <w:numId w:val="1"/>
        </w:numPr>
        <w:spacing w:after="0" w:line="320" w:lineRule="exact"/>
        <w:rPr>
          <w:rFonts w:ascii="Arial" w:hAnsi="Arial" w:cs="Arial"/>
        </w:rPr>
      </w:pPr>
      <w:r w:rsidRPr="00837DAD">
        <w:rPr>
          <w:rFonts w:ascii="Arial" w:hAnsi="Arial" w:cs="Arial"/>
        </w:rPr>
        <w:t>The report expanded to include 2</w:t>
      </w:r>
      <w:r w:rsidR="009E5C7F">
        <w:rPr>
          <w:rFonts w:ascii="Arial" w:hAnsi="Arial" w:cs="Arial"/>
        </w:rPr>
        <w:t>,</w:t>
      </w:r>
      <w:r w:rsidRPr="00837DAD">
        <w:rPr>
          <w:rFonts w:ascii="Arial" w:hAnsi="Arial" w:cs="Arial"/>
        </w:rPr>
        <w:t>290 programs, up nearly 100 programs from the September 2014 index.</w:t>
      </w:r>
    </w:p>
    <w:p w:rsidR="00B57597" w:rsidRPr="003A4E7B" w:rsidRDefault="00E66704" w:rsidP="002B7505">
      <w:pPr>
        <w:pStyle w:val="ListParagraph"/>
        <w:numPr>
          <w:ilvl w:val="0"/>
          <w:numId w:val="1"/>
        </w:numPr>
        <w:spacing w:after="0" w:line="320" w:lineRule="exact"/>
        <w:rPr>
          <w:rFonts w:ascii="Arial" w:hAnsi="Arial" w:cs="Arial"/>
        </w:rPr>
      </w:pPr>
      <w:r>
        <w:rPr>
          <w:rFonts w:ascii="Arial" w:hAnsi="Arial" w:cs="Arial"/>
        </w:rPr>
        <w:t xml:space="preserve">Programs </w:t>
      </w:r>
      <w:r w:rsidR="00B57597" w:rsidRPr="003A4E7B">
        <w:rPr>
          <w:rFonts w:ascii="Arial" w:hAnsi="Arial" w:cs="Arial"/>
        </w:rPr>
        <w:t>from over 1,200 separate housing agencies and program providers</w:t>
      </w:r>
      <w:r>
        <w:rPr>
          <w:rFonts w:ascii="Arial" w:hAnsi="Arial" w:cs="Arial"/>
        </w:rPr>
        <w:t xml:space="preserve"> are now tracked</w:t>
      </w:r>
      <w:r w:rsidR="00B57597" w:rsidRPr="003A4E7B">
        <w:rPr>
          <w:rFonts w:ascii="Arial" w:hAnsi="Arial" w:cs="Arial"/>
        </w:rPr>
        <w:t>.</w:t>
      </w:r>
    </w:p>
    <w:p w:rsidR="006D7C63" w:rsidRPr="00837DAD" w:rsidRDefault="006D7C63" w:rsidP="002B7505">
      <w:pPr>
        <w:pStyle w:val="ListParagraph"/>
        <w:numPr>
          <w:ilvl w:val="0"/>
          <w:numId w:val="1"/>
        </w:numPr>
        <w:spacing w:after="0" w:line="320" w:lineRule="exact"/>
        <w:rPr>
          <w:rFonts w:ascii="Arial" w:hAnsi="Arial" w:cs="Arial"/>
        </w:rPr>
      </w:pPr>
      <w:r w:rsidRPr="00837DAD">
        <w:rPr>
          <w:rFonts w:ascii="Arial" w:hAnsi="Arial" w:cs="Arial"/>
        </w:rPr>
        <w:t>18 programs are available nationwide.</w:t>
      </w:r>
    </w:p>
    <w:p w:rsidR="006D7C63" w:rsidRDefault="00837DAD" w:rsidP="002B7505">
      <w:pPr>
        <w:pStyle w:val="ListParagraph"/>
        <w:numPr>
          <w:ilvl w:val="0"/>
          <w:numId w:val="1"/>
        </w:numPr>
        <w:spacing w:after="0" w:line="320" w:lineRule="exact"/>
        <w:rPr>
          <w:rFonts w:ascii="Arial" w:hAnsi="Arial" w:cs="Arial"/>
        </w:rPr>
      </w:pPr>
      <w:r>
        <w:rPr>
          <w:rFonts w:ascii="Arial" w:hAnsi="Arial" w:cs="Arial"/>
        </w:rPr>
        <w:t>Approximately 91 percent</w:t>
      </w:r>
      <w:r w:rsidR="006D7C63" w:rsidRPr="00837DAD">
        <w:rPr>
          <w:rFonts w:ascii="Arial" w:hAnsi="Arial" w:cs="Arial"/>
        </w:rPr>
        <w:t xml:space="preserve"> (90.6%) of programs have funds available for homebuyers, down slightly from September (91.7%).</w:t>
      </w:r>
    </w:p>
    <w:p w:rsidR="00B57597" w:rsidRDefault="003A4E7B" w:rsidP="002B7505">
      <w:pPr>
        <w:pStyle w:val="ListParagraph"/>
        <w:numPr>
          <w:ilvl w:val="0"/>
          <w:numId w:val="1"/>
        </w:numPr>
        <w:spacing w:after="0" w:line="320" w:lineRule="exact"/>
        <w:rPr>
          <w:rFonts w:ascii="Arial" w:hAnsi="Arial" w:cs="Arial"/>
        </w:rPr>
      </w:pPr>
      <w:r w:rsidRPr="003A4E7B">
        <w:rPr>
          <w:rFonts w:ascii="Arial" w:hAnsi="Arial" w:cs="Arial"/>
        </w:rPr>
        <w:t xml:space="preserve">This quarter’s report saw an increase in </w:t>
      </w:r>
      <w:r w:rsidR="00B57597" w:rsidRPr="003A4E7B">
        <w:rPr>
          <w:rFonts w:ascii="Arial" w:hAnsi="Arial" w:cs="Arial"/>
        </w:rPr>
        <w:t xml:space="preserve">Mortgage Credit Certificates (MCC) and Combined Assistance programs, which combine a </w:t>
      </w:r>
      <w:r w:rsidRPr="003A4E7B">
        <w:rPr>
          <w:rFonts w:ascii="Arial" w:hAnsi="Arial" w:cs="Arial"/>
        </w:rPr>
        <w:t>first</w:t>
      </w:r>
      <w:r w:rsidR="00B57597" w:rsidRPr="003A4E7B">
        <w:rPr>
          <w:rFonts w:ascii="Arial" w:hAnsi="Arial" w:cs="Arial"/>
        </w:rPr>
        <w:t xml:space="preserve"> mortgage with down payment and closing cost </w:t>
      </w:r>
      <w:r w:rsidRPr="003A4E7B">
        <w:rPr>
          <w:rFonts w:ascii="Arial" w:hAnsi="Arial" w:cs="Arial"/>
        </w:rPr>
        <w:t xml:space="preserve">funds. </w:t>
      </w:r>
    </w:p>
    <w:p w:rsidR="0091632E" w:rsidRPr="0091632E" w:rsidRDefault="0091632E" w:rsidP="0091632E">
      <w:pPr>
        <w:pStyle w:val="ListParagraph"/>
        <w:numPr>
          <w:ilvl w:val="0"/>
          <w:numId w:val="1"/>
        </w:numPr>
        <w:spacing w:after="0" w:line="320" w:lineRule="exact"/>
        <w:rPr>
          <w:rFonts w:ascii="Arial" w:hAnsi="Arial" w:cs="Arial"/>
        </w:rPr>
      </w:pPr>
      <w:r w:rsidRPr="0091632E">
        <w:rPr>
          <w:rFonts w:ascii="Arial" w:hAnsi="Arial" w:cs="Arial"/>
        </w:rPr>
        <w:t xml:space="preserve">Many of these programs can be layered with each other and can often be used with most loan products, including VA and FHA. </w:t>
      </w:r>
    </w:p>
    <w:p w:rsidR="00837DAD" w:rsidRPr="003A4E7B" w:rsidRDefault="00837DAD" w:rsidP="002B7505">
      <w:pPr>
        <w:pStyle w:val="ListParagraph"/>
        <w:numPr>
          <w:ilvl w:val="0"/>
          <w:numId w:val="1"/>
        </w:numPr>
        <w:spacing w:after="0" w:line="320" w:lineRule="exact"/>
        <w:rPr>
          <w:rFonts w:ascii="Arial" w:hAnsi="Arial" w:cs="Arial"/>
        </w:rPr>
      </w:pPr>
      <w:r w:rsidRPr="003A4E7B">
        <w:rPr>
          <w:rFonts w:ascii="Arial" w:hAnsi="Arial" w:cs="Arial"/>
        </w:rPr>
        <w:t xml:space="preserve">More than 14 percent of programs are </w:t>
      </w:r>
      <w:r w:rsidR="00A0095E" w:rsidRPr="003A4E7B">
        <w:rPr>
          <w:rFonts w:ascii="Arial" w:hAnsi="Arial" w:cs="Arial"/>
        </w:rPr>
        <w:t xml:space="preserve">special opportunities </w:t>
      </w:r>
      <w:r w:rsidRPr="003A4E7B">
        <w:rPr>
          <w:rFonts w:ascii="Arial" w:hAnsi="Arial" w:cs="Arial"/>
        </w:rPr>
        <w:t xml:space="preserve">available </w:t>
      </w:r>
      <w:r w:rsidR="00A0095E" w:rsidRPr="003A4E7B">
        <w:rPr>
          <w:rFonts w:ascii="Arial" w:hAnsi="Arial" w:cs="Arial"/>
        </w:rPr>
        <w:t xml:space="preserve">exclusively </w:t>
      </w:r>
      <w:r w:rsidRPr="003A4E7B">
        <w:rPr>
          <w:rFonts w:ascii="Arial" w:hAnsi="Arial" w:cs="Arial"/>
        </w:rPr>
        <w:t xml:space="preserve">for veterans, buyers with a disability and other professions or special circumstances. </w:t>
      </w:r>
    </w:p>
    <w:p w:rsidR="006962FF" w:rsidRPr="00837DAD" w:rsidRDefault="006962FF" w:rsidP="002B7505">
      <w:pPr>
        <w:pStyle w:val="ListParagraph"/>
        <w:spacing w:after="0" w:line="320" w:lineRule="exact"/>
        <w:rPr>
          <w:rFonts w:ascii="Arial" w:hAnsi="Arial" w:cs="Arial"/>
        </w:rPr>
      </w:pPr>
    </w:p>
    <w:p w:rsidR="006D7C63" w:rsidRDefault="006D7C63" w:rsidP="002B7505">
      <w:pPr>
        <w:pStyle w:val="ListParagraph"/>
        <w:spacing w:after="0" w:line="320" w:lineRule="exact"/>
        <w:ind w:left="0"/>
        <w:rPr>
          <w:rFonts w:ascii="Arial" w:hAnsi="Arial" w:cs="Arial"/>
          <w:b/>
        </w:rPr>
      </w:pPr>
      <w:r w:rsidRPr="00837DAD">
        <w:rPr>
          <w:rFonts w:ascii="Arial" w:hAnsi="Arial" w:cs="Arial"/>
          <w:b/>
        </w:rPr>
        <w:t>Diversity of programs remains consistent</w:t>
      </w:r>
    </w:p>
    <w:p w:rsidR="006D7C63" w:rsidRPr="00837DAD" w:rsidRDefault="006D7C63" w:rsidP="002B7505">
      <w:pPr>
        <w:pStyle w:val="ListParagraph"/>
        <w:numPr>
          <w:ilvl w:val="0"/>
          <w:numId w:val="2"/>
        </w:numPr>
        <w:spacing w:after="0" w:line="320" w:lineRule="exact"/>
        <w:rPr>
          <w:rFonts w:ascii="Arial" w:hAnsi="Arial" w:cs="Arial"/>
        </w:rPr>
      </w:pPr>
      <w:r w:rsidRPr="00837DAD">
        <w:rPr>
          <w:rFonts w:ascii="Arial" w:hAnsi="Arial" w:cs="Arial"/>
        </w:rPr>
        <w:t xml:space="preserve">The HPI highlights the wide range of opportunities available for all types of buyers, not just for first-time homebuyers. 37 percent of the programs don’t include a first-time homebuyer requirement (down 2% from September). </w:t>
      </w:r>
    </w:p>
    <w:p w:rsidR="006D7C63" w:rsidRPr="00837DAD" w:rsidRDefault="006D7C63" w:rsidP="002B7505">
      <w:pPr>
        <w:pStyle w:val="ListParagraph"/>
        <w:numPr>
          <w:ilvl w:val="0"/>
          <w:numId w:val="2"/>
        </w:numPr>
        <w:spacing w:after="0" w:line="320" w:lineRule="exact"/>
        <w:rPr>
          <w:rFonts w:ascii="Arial" w:hAnsi="Arial" w:cs="Arial"/>
        </w:rPr>
      </w:pPr>
      <w:r w:rsidRPr="00837DAD">
        <w:rPr>
          <w:rFonts w:ascii="Arial" w:hAnsi="Arial" w:cs="Arial"/>
        </w:rPr>
        <w:t>While the vast majority of programs (8</w:t>
      </w:r>
      <w:r w:rsidR="006962FF" w:rsidRPr="00837DAD">
        <w:rPr>
          <w:rFonts w:ascii="Arial" w:hAnsi="Arial" w:cs="Arial"/>
        </w:rPr>
        <w:t>3</w:t>
      </w:r>
      <w:r w:rsidRPr="00837DAD">
        <w:rPr>
          <w:rFonts w:ascii="Arial" w:hAnsi="Arial" w:cs="Arial"/>
        </w:rPr>
        <w:t xml:space="preserve">%) are for single family homes, </w:t>
      </w:r>
      <w:r w:rsidR="006962FF" w:rsidRPr="00837DAD">
        <w:rPr>
          <w:rFonts w:ascii="Arial" w:hAnsi="Arial" w:cs="Arial"/>
        </w:rPr>
        <w:t>the index found that 17</w:t>
      </w:r>
      <w:r w:rsidRPr="00837DAD">
        <w:rPr>
          <w:rFonts w:ascii="Arial" w:hAnsi="Arial" w:cs="Arial"/>
        </w:rPr>
        <w:t xml:space="preserve"> percent of programs are also eligible for owner-occupied multifamily properties like duplexes, triplexes and quads (2-4 unit properties).  </w:t>
      </w:r>
    </w:p>
    <w:p w:rsidR="006962FF" w:rsidRPr="00837DAD" w:rsidRDefault="006962FF" w:rsidP="002B7505">
      <w:pPr>
        <w:pStyle w:val="ListParagraph"/>
        <w:numPr>
          <w:ilvl w:val="0"/>
          <w:numId w:val="2"/>
        </w:numPr>
        <w:spacing w:after="0" w:line="320" w:lineRule="exact"/>
        <w:rPr>
          <w:rFonts w:ascii="Arial" w:hAnsi="Arial" w:cs="Arial"/>
        </w:rPr>
      </w:pPr>
      <w:r w:rsidRPr="003A4E7B">
        <w:rPr>
          <w:rFonts w:ascii="Arial" w:hAnsi="Arial" w:cs="Arial"/>
        </w:rPr>
        <w:t>More than half of programs (54%) are Community Seconds, a second mortgage</w:t>
      </w:r>
      <w:r w:rsidR="00C916E3" w:rsidRPr="003A4E7B">
        <w:rPr>
          <w:rFonts w:ascii="Arial" w:hAnsi="Arial" w:cs="Arial"/>
        </w:rPr>
        <w:t xml:space="preserve"> for down payment or closing costs</w:t>
      </w:r>
      <w:r w:rsidRPr="003A4E7B">
        <w:rPr>
          <w:rFonts w:ascii="Arial" w:hAnsi="Arial" w:cs="Arial"/>
        </w:rPr>
        <w:t xml:space="preserve"> issued by an HFA or nonprofit organization with a very low or no interest rate. The payment on the second mortgage may be deferred or</w:t>
      </w:r>
      <w:r w:rsidRPr="00837DAD">
        <w:rPr>
          <w:rFonts w:ascii="Arial" w:hAnsi="Arial" w:cs="Arial"/>
        </w:rPr>
        <w:t xml:space="preserve"> forgiven incrementally for each year the buyer remains in the home. </w:t>
      </w:r>
    </w:p>
    <w:p w:rsidR="002B7505" w:rsidRPr="003A4E7B" w:rsidRDefault="006962FF" w:rsidP="002B7505">
      <w:pPr>
        <w:pStyle w:val="ListParagraph"/>
        <w:numPr>
          <w:ilvl w:val="0"/>
          <w:numId w:val="2"/>
        </w:numPr>
        <w:spacing w:after="0" w:line="320" w:lineRule="exact"/>
        <w:rPr>
          <w:rFonts w:ascii="Arial" w:hAnsi="Arial" w:cs="Arial"/>
        </w:rPr>
      </w:pPr>
      <w:r w:rsidRPr="003A4E7B">
        <w:rPr>
          <w:rFonts w:ascii="Arial" w:hAnsi="Arial" w:cs="Arial"/>
        </w:rPr>
        <w:t xml:space="preserve">Other </w:t>
      </w:r>
      <w:r w:rsidR="00C916E3" w:rsidRPr="003A4E7B">
        <w:rPr>
          <w:rFonts w:ascii="Arial" w:hAnsi="Arial" w:cs="Arial"/>
        </w:rPr>
        <w:t xml:space="preserve">popular </w:t>
      </w:r>
      <w:r w:rsidRPr="003A4E7B">
        <w:rPr>
          <w:rFonts w:ascii="Arial" w:hAnsi="Arial" w:cs="Arial"/>
        </w:rPr>
        <w:t>program</w:t>
      </w:r>
      <w:r w:rsidR="002B7505" w:rsidRPr="003A4E7B">
        <w:rPr>
          <w:rFonts w:ascii="Arial" w:hAnsi="Arial" w:cs="Arial"/>
        </w:rPr>
        <w:t xml:space="preserve"> types:</w:t>
      </w:r>
    </w:p>
    <w:p w:rsidR="002B7505" w:rsidRPr="003A4E7B" w:rsidRDefault="002B7505" w:rsidP="002B7505">
      <w:pPr>
        <w:pStyle w:val="ListParagraph"/>
        <w:numPr>
          <w:ilvl w:val="1"/>
          <w:numId w:val="2"/>
        </w:numPr>
        <w:spacing w:after="0" w:line="320" w:lineRule="exact"/>
        <w:rPr>
          <w:rFonts w:ascii="Arial" w:hAnsi="Arial" w:cs="Arial"/>
        </w:rPr>
      </w:pPr>
      <w:r w:rsidRPr="003A4E7B">
        <w:rPr>
          <w:rFonts w:ascii="Arial" w:hAnsi="Arial" w:cs="Arial"/>
        </w:rPr>
        <w:t>F</w:t>
      </w:r>
      <w:r w:rsidR="006962FF" w:rsidRPr="003A4E7B">
        <w:rPr>
          <w:rFonts w:ascii="Arial" w:hAnsi="Arial" w:cs="Arial"/>
        </w:rPr>
        <w:t>irst mortgage loans with below-market interest rates</w:t>
      </w:r>
      <w:r w:rsidR="00C916E3" w:rsidRPr="003A4E7B">
        <w:rPr>
          <w:rFonts w:ascii="Arial" w:hAnsi="Arial" w:cs="Arial"/>
        </w:rPr>
        <w:t>, lower or no mortgage insurance,</w:t>
      </w:r>
      <w:r w:rsidR="006962FF" w:rsidRPr="003A4E7B">
        <w:rPr>
          <w:rFonts w:ascii="Arial" w:hAnsi="Arial" w:cs="Arial"/>
        </w:rPr>
        <w:t xml:space="preserve"> or 100 percent financing</w:t>
      </w:r>
      <w:r w:rsidRPr="003A4E7B">
        <w:rPr>
          <w:rFonts w:ascii="Arial" w:hAnsi="Arial" w:cs="Arial"/>
        </w:rPr>
        <w:t>.</w:t>
      </w:r>
    </w:p>
    <w:p w:rsidR="002B7505" w:rsidRDefault="006962FF" w:rsidP="002B7505">
      <w:pPr>
        <w:pStyle w:val="ListParagraph"/>
        <w:numPr>
          <w:ilvl w:val="1"/>
          <w:numId w:val="2"/>
        </w:numPr>
        <w:spacing w:after="0" w:line="320" w:lineRule="exact"/>
        <w:rPr>
          <w:rFonts w:ascii="Arial" w:hAnsi="Arial" w:cs="Arial"/>
        </w:rPr>
      </w:pPr>
      <w:r w:rsidRPr="003A4E7B">
        <w:rPr>
          <w:rFonts w:ascii="Arial" w:hAnsi="Arial" w:cs="Arial"/>
        </w:rPr>
        <w:lastRenderedPageBreak/>
        <w:t>Mortgage Credit Certificates (MCCs) that provide up to $2,000 in annual tax</w:t>
      </w:r>
      <w:r w:rsidRPr="00837DAD">
        <w:rPr>
          <w:rFonts w:ascii="Arial" w:hAnsi="Arial" w:cs="Arial"/>
        </w:rPr>
        <w:t xml:space="preserve"> credits for the life of the loan</w:t>
      </w:r>
      <w:r w:rsidR="002B7505">
        <w:rPr>
          <w:rFonts w:ascii="Arial" w:hAnsi="Arial" w:cs="Arial"/>
        </w:rPr>
        <w:t>.</w:t>
      </w:r>
    </w:p>
    <w:p w:rsidR="006962FF" w:rsidRPr="003A4E7B" w:rsidRDefault="006962FF" w:rsidP="002B7505">
      <w:pPr>
        <w:pStyle w:val="ListParagraph"/>
        <w:numPr>
          <w:ilvl w:val="1"/>
          <w:numId w:val="2"/>
        </w:numPr>
        <w:spacing w:after="0" w:line="320" w:lineRule="exact"/>
        <w:rPr>
          <w:rFonts w:ascii="Arial" w:hAnsi="Arial" w:cs="Arial"/>
        </w:rPr>
      </w:pPr>
      <w:r w:rsidRPr="003A4E7B">
        <w:rPr>
          <w:rFonts w:ascii="Arial" w:hAnsi="Arial" w:cs="Arial"/>
        </w:rPr>
        <w:t xml:space="preserve">Neighborhood Stabilization Program (NSP) loans and grants </w:t>
      </w:r>
      <w:r w:rsidR="00C916E3" w:rsidRPr="003A4E7B">
        <w:rPr>
          <w:rFonts w:ascii="Arial" w:hAnsi="Arial" w:cs="Arial"/>
        </w:rPr>
        <w:t>for down payment</w:t>
      </w:r>
      <w:r w:rsidR="003A4E7B" w:rsidRPr="003A4E7B">
        <w:rPr>
          <w:rFonts w:ascii="Arial" w:hAnsi="Arial" w:cs="Arial"/>
        </w:rPr>
        <w:t>s</w:t>
      </w:r>
      <w:r w:rsidR="00C916E3" w:rsidRPr="003A4E7B">
        <w:rPr>
          <w:rFonts w:ascii="Arial" w:hAnsi="Arial" w:cs="Arial"/>
        </w:rPr>
        <w:t xml:space="preserve"> </w:t>
      </w:r>
      <w:r w:rsidRPr="003A4E7B">
        <w:rPr>
          <w:rFonts w:ascii="Arial" w:hAnsi="Arial" w:cs="Arial"/>
        </w:rPr>
        <w:t>designed to revitalize communities that have suffered from foreclosures, high unemployment and other concerns slowing housing recovery.</w:t>
      </w:r>
    </w:p>
    <w:p w:rsidR="002B7505" w:rsidRPr="00837DAD" w:rsidRDefault="002B7505" w:rsidP="002B7505">
      <w:pPr>
        <w:pStyle w:val="ListParagraph"/>
        <w:spacing w:after="0" w:line="320" w:lineRule="exact"/>
        <w:ind w:left="1440"/>
        <w:rPr>
          <w:rFonts w:ascii="Arial" w:hAnsi="Arial" w:cs="Arial"/>
        </w:rPr>
      </w:pPr>
    </w:p>
    <w:p w:rsidR="006962FF" w:rsidRPr="00837DAD" w:rsidRDefault="006962FF" w:rsidP="00822AF7">
      <w:pPr>
        <w:rPr>
          <w:rFonts w:ascii="Arial" w:hAnsi="Arial" w:cs="Arial"/>
          <w:b/>
        </w:rPr>
      </w:pPr>
      <w:r w:rsidRPr="00837DAD">
        <w:rPr>
          <w:rFonts w:ascii="Arial" w:hAnsi="Arial" w:cs="Arial"/>
          <w:b/>
        </w:rPr>
        <w:t xml:space="preserve">The South leads </w:t>
      </w:r>
      <w:r w:rsidR="002B7505">
        <w:rPr>
          <w:rFonts w:ascii="Arial" w:hAnsi="Arial" w:cs="Arial"/>
          <w:b/>
        </w:rPr>
        <w:t xml:space="preserve">in total number of </w:t>
      </w:r>
      <w:r w:rsidRPr="00837DAD">
        <w:rPr>
          <w:rFonts w:ascii="Arial" w:hAnsi="Arial" w:cs="Arial"/>
          <w:b/>
        </w:rPr>
        <w:t>program</w:t>
      </w:r>
      <w:r w:rsidR="002B7505">
        <w:rPr>
          <w:rFonts w:ascii="Arial" w:hAnsi="Arial" w:cs="Arial"/>
          <w:b/>
        </w:rPr>
        <w:t>s</w:t>
      </w:r>
    </w:p>
    <w:p w:rsidR="006962FF" w:rsidRPr="00837DAD" w:rsidRDefault="006962FF" w:rsidP="002B7505">
      <w:pPr>
        <w:pStyle w:val="ListParagraph"/>
        <w:numPr>
          <w:ilvl w:val="0"/>
          <w:numId w:val="3"/>
        </w:numPr>
        <w:spacing w:after="0" w:line="320" w:lineRule="exact"/>
        <w:rPr>
          <w:rFonts w:ascii="Arial" w:hAnsi="Arial" w:cs="Arial"/>
        </w:rPr>
      </w:pPr>
      <w:r w:rsidRPr="00837DAD">
        <w:rPr>
          <w:rFonts w:ascii="Arial" w:hAnsi="Arial" w:cs="Arial"/>
          <w:color w:val="000000" w:themeColor="text1"/>
        </w:rPr>
        <w:t>The South still leads in the total number of available homebuyer programs, followed by the West.</w:t>
      </w:r>
    </w:p>
    <w:p w:rsidR="00837DAD" w:rsidRPr="00837DAD" w:rsidRDefault="002B7505" w:rsidP="002B7505">
      <w:pPr>
        <w:pStyle w:val="ListParagraph"/>
        <w:numPr>
          <w:ilvl w:val="0"/>
          <w:numId w:val="3"/>
        </w:numPr>
        <w:spacing w:after="0" w:line="320" w:lineRule="exact"/>
        <w:rPr>
          <w:rFonts w:ascii="Arial" w:hAnsi="Arial" w:cs="Arial"/>
        </w:rPr>
      </w:pPr>
      <w:r>
        <w:rPr>
          <w:rFonts w:ascii="Arial" w:hAnsi="Arial" w:cs="Arial"/>
        </w:rPr>
        <w:t xml:space="preserve">24 percent </w:t>
      </w:r>
      <w:r w:rsidR="00837DAD" w:rsidRPr="00837DAD">
        <w:rPr>
          <w:rFonts w:ascii="Arial" w:hAnsi="Arial" w:cs="Arial"/>
        </w:rPr>
        <w:t>of programs are available state-wide, not specific to a county or neighborhood.</w:t>
      </w:r>
    </w:p>
    <w:p w:rsidR="006962FF" w:rsidRPr="00837DAD" w:rsidRDefault="006962FF" w:rsidP="002B7505">
      <w:pPr>
        <w:pStyle w:val="ListParagraph"/>
        <w:numPr>
          <w:ilvl w:val="0"/>
          <w:numId w:val="3"/>
        </w:numPr>
        <w:spacing w:after="0" w:line="320" w:lineRule="exact"/>
        <w:rPr>
          <w:rFonts w:ascii="Arial" w:hAnsi="Arial" w:cs="Arial"/>
        </w:rPr>
      </w:pPr>
      <w:r w:rsidRPr="00837DAD">
        <w:rPr>
          <w:rFonts w:ascii="Arial" w:hAnsi="Arial" w:cs="Arial"/>
          <w:color w:val="000000" w:themeColor="text1"/>
        </w:rPr>
        <w:t>The states with the greatest number of down payment programs remains unchanged:</w:t>
      </w:r>
    </w:p>
    <w:p w:rsidR="006962FF" w:rsidRPr="00837DAD" w:rsidRDefault="006962FF" w:rsidP="002B7505">
      <w:pPr>
        <w:pStyle w:val="ListParagraph"/>
        <w:numPr>
          <w:ilvl w:val="1"/>
          <w:numId w:val="4"/>
        </w:numPr>
        <w:spacing w:after="0" w:line="320" w:lineRule="exact"/>
        <w:rPr>
          <w:rFonts w:ascii="Arial" w:hAnsi="Arial" w:cs="Arial"/>
        </w:rPr>
      </w:pPr>
      <w:r w:rsidRPr="00837DAD">
        <w:rPr>
          <w:rFonts w:ascii="Arial" w:hAnsi="Arial" w:cs="Arial"/>
        </w:rPr>
        <w:t xml:space="preserve">California </w:t>
      </w:r>
    </w:p>
    <w:p w:rsidR="006962FF" w:rsidRPr="00837DAD" w:rsidRDefault="006962FF" w:rsidP="002B7505">
      <w:pPr>
        <w:pStyle w:val="ListParagraph"/>
        <w:numPr>
          <w:ilvl w:val="1"/>
          <w:numId w:val="4"/>
        </w:numPr>
        <w:spacing w:after="0" w:line="320" w:lineRule="exact"/>
        <w:rPr>
          <w:rFonts w:ascii="Arial" w:hAnsi="Arial" w:cs="Arial"/>
        </w:rPr>
      </w:pPr>
      <w:r w:rsidRPr="00837DAD">
        <w:rPr>
          <w:rFonts w:ascii="Arial" w:hAnsi="Arial" w:cs="Arial"/>
        </w:rPr>
        <w:t xml:space="preserve">Florida </w:t>
      </w:r>
    </w:p>
    <w:p w:rsidR="006962FF" w:rsidRPr="00837DAD" w:rsidRDefault="006962FF" w:rsidP="002B7505">
      <w:pPr>
        <w:pStyle w:val="ListParagraph"/>
        <w:numPr>
          <w:ilvl w:val="1"/>
          <w:numId w:val="4"/>
        </w:numPr>
        <w:spacing w:after="0" w:line="320" w:lineRule="exact"/>
        <w:rPr>
          <w:rFonts w:ascii="Arial" w:hAnsi="Arial" w:cs="Arial"/>
        </w:rPr>
      </w:pPr>
      <w:r w:rsidRPr="00837DAD">
        <w:rPr>
          <w:rFonts w:ascii="Arial" w:hAnsi="Arial" w:cs="Arial"/>
        </w:rPr>
        <w:t xml:space="preserve">Texas </w:t>
      </w:r>
    </w:p>
    <w:p w:rsidR="006962FF" w:rsidRPr="00837DAD" w:rsidRDefault="006962FF" w:rsidP="002B7505">
      <w:pPr>
        <w:pStyle w:val="ListParagraph"/>
        <w:numPr>
          <w:ilvl w:val="1"/>
          <w:numId w:val="4"/>
        </w:numPr>
        <w:spacing w:after="0" w:line="320" w:lineRule="exact"/>
        <w:rPr>
          <w:rFonts w:ascii="Arial" w:hAnsi="Arial" w:cs="Arial"/>
        </w:rPr>
      </w:pPr>
      <w:r w:rsidRPr="00837DAD">
        <w:rPr>
          <w:rFonts w:ascii="Arial" w:hAnsi="Arial" w:cs="Arial"/>
        </w:rPr>
        <w:t xml:space="preserve">Maryland </w:t>
      </w:r>
    </w:p>
    <w:p w:rsidR="006962FF" w:rsidRDefault="006962FF" w:rsidP="002B7505">
      <w:pPr>
        <w:pStyle w:val="ListParagraph"/>
        <w:numPr>
          <w:ilvl w:val="1"/>
          <w:numId w:val="4"/>
        </w:numPr>
        <w:spacing w:after="0" w:line="320" w:lineRule="exact"/>
        <w:rPr>
          <w:rFonts w:ascii="Arial" w:hAnsi="Arial" w:cs="Arial"/>
        </w:rPr>
      </w:pPr>
      <w:r w:rsidRPr="00837DAD">
        <w:rPr>
          <w:rFonts w:ascii="Arial" w:hAnsi="Arial" w:cs="Arial"/>
        </w:rPr>
        <w:t>New York</w:t>
      </w:r>
    </w:p>
    <w:p w:rsidR="002B7505" w:rsidRDefault="002B7505" w:rsidP="002B7505">
      <w:pPr>
        <w:pStyle w:val="ListParagraph"/>
        <w:numPr>
          <w:ilvl w:val="1"/>
          <w:numId w:val="4"/>
        </w:numPr>
        <w:spacing w:after="0" w:line="320" w:lineRule="exact"/>
        <w:rPr>
          <w:rFonts w:ascii="Arial" w:hAnsi="Arial" w:cs="Arial"/>
        </w:rPr>
      </w:pPr>
      <w:r>
        <w:rPr>
          <w:rFonts w:ascii="Arial" w:hAnsi="Arial" w:cs="Arial"/>
        </w:rPr>
        <w:t>Georgia</w:t>
      </w:r>
    </w:p>
    <w:p w:rsidR="002B7505" w:rsidRDefault="002B7505" w:rsidP="002B7505">
      <w:pPr>
        <w:pStyle w:val="ListParagraph"/>
        <w:numPr>
          <w:ilvl w:val="1"/>
          <w:numId w:val="4"/>
        </w:numPr>
        <w:spacing w:after="0" w:line="320" w:lineRule="exact"/>
        <w:rPr>
          <w:rFonts w:ascii="Arial" w:hAnsi="Arial" w:cs="Arial"/>
        </w:rPr>
      </w:pPr>
      <w:r>
        <w:rPr>
          <w:rFonts w:ascii="Arial" w:hAnsi="Arial" w:cs="Arial"/>
        </w:rPr>
        <w:t>Pennsylvania</w:t>
      </w:r>
    </w:p>
    <w:p w:rsidR="002B7505" w:rsidRDefault="002B7505" w:rsidP="002B7505">
      <w:pPr>
        <w:pStyle w:val="ListParagraph"/>
        <w:numPr>
          <w:ilvl w:val="1"/>
          <w:numId w:val="4"/>
        </w:numPr>
        <w:spacing w:after="0" w:line="320" w:lineRule="exact"/>
        <w:rPr>
          <w:rFonts w:ascii="Arial" w:hAnsi="Arial" w:cs="Arial"/>
        </w:rPr>
      </w:pPr>
      <w:r>
        <w:rPr>
          <w:rFonts w:ascii="Arial" w:hAnsi="Arial" w:cs="Arial"/>
        </w:rPr>
        <w:t>Massachusetts</w:t>
      </w:r>
    </w:p>
    <w:p w:rsidR="002B7505" w:rsidRDefault="002B7505" w:rsidP="002B7505">
      <w:pPr>
        <w:pStyle w:val="ListParagraph"/>
        <w:numPr>
          <w:ilvl w:val="1"/>
          <w:numId w:val="4"/>
        </w:numPr>
        <w:spacing w:after="0" w:line="320" w:lineRule="exact"/>
        <w:rPr>
          <w:rFonts w:ascii="Arial" w:hAnsi="Arial" w:cs="Arial"/>
        </w:rPr>
      </w:pPr>
      <w:r>
        <w:rPr>
          <w:rFonts w:ascii="Arial" w:hAnsi="Arial" w:cs="Arial"/>
        </w:rPr>
        <w:t>Illinois</w:t>
      </w:r>
    </w:p>
    <w:p w:rsidR="002B7505" w:rsidRDefault="002B7505" w:rsidP="002B7505">
      <w:pPr>
        <w:pStyle w:val="ListParagraph"/>
        <w:numPr>
          <w:ilvl w:val="1"/>
          <w:numId w:val="4"/>
        </w:numPr>
        <w:spacing w:after="0" w:line="320" w:lineRule="exact"/>
        <w:rPr>
          <w:rFonts w:ascii="Arial" w:hAnsi="Arial" w:cs="Arial"/>
        </w:rPr>
      </w:pPr>
      <w:r>
        <w:rPr>
          <w:rFonts w:ascii="Arial" w:hAnsi="Arial" w:cs="Arial"/>
        </w:rPr>
        <w:t>Colorado</w:t>
      </w:r>
    </w:p>
    <w:p w:rsidR="00837DAD" w:rsidRPr="00837DAD" w:rsidRDefault="00837DAD" w:rsidP="002B7505">
      <w:pPr>
        <w:pStyle w:val="ListParagraph"/>
        <w:spacing w:after="0" w:line="320" w:lineRule="exact"/>
        <w:ind w:left="0"/>
        <w:rPr>
          <w:rFonts w:ascii="Arial" w:hAnsi="Arial" w:cs="Arial"/>
          <w:b/>
        </w:rPr>
      </w:pPr>
    </w:p>
    <w:p w:rsidR="00837DAD" w:rsidRPr="00837DAD" w:rsidRDefault="00837DAD" w:rsidP="002B7505">
      <w:pPr>
        <w:pStyle w:val="ListParagraph"/>
        <w:spacing w:after="0" w:line="320" w:lineRule="exact"/>
        <w:ind w:left="0"/>
        <w:rPr>
          <w:rFonts w:ascii="Arial" w:hAnsi="Arial" w:cs="Arial"/>
          <w:b/>
        </w:rPr>
      </w:pPr>
      <w:r w:rsidRPr="00837DAD">
        <w:rPr>
          <w:rFonts w:ascii="Arial" w:hAnsi="Arial" w:cs="Arial"/>
          <w:b/>
        </w:rPr>
        <w:t xml:space="preserve">Special programs and incentives are available to veterans </w:t>
      </w:r>
    </w:p>
    <w:p w:rsidR="00CC7DC7" w:rsidRPr="00837DAD" w:rsidRDefault="00CC7DC7" w:rsidP="00CC7DC7">
      <w:pPr>
        <w:pStyle w:val="ListParagraph"/>
        <w:numPr>
          <w:ilvl w:val="0"/>
          <w:numId w:val="5"/>
        </w:numPr>
        <w:spacing w:after="0" w:line="320" w:lineRule="exact"/>
        <w:rPr>
          <w:rFonts w:ascii="Arial" w:hAnsi="Arial" w:cs="Arial"/>
        </w:rPr>
      </w:pPr>
      <w:r w:rsidRPr="00837DAD">
        <w:rPr>
          <w:rFonts w:ascii="Arial" w:hAnsi="Arial" w:cs="Arial"/>
        </w:rPr>
        <w:t xml:space="preserve">There are 329 different programs that include incentives for veterans and other special circumstances or professions. </w:t>
      </w:r>
    </w:p>
    <w:p w:rsidR="009E5C7F" w:rsidRDefault="00837DAD" w:rsidP="009E5C7F">
      <w:pPr>
        <w:pStyle w:val="ListParagraph"/>
        <w:numPr>
          <w:ilvl w:val="0"/>
          <w:numId w:val="5"/>
        </w:numPr>
        <w:spacing w:after="0" w:line="320" w:lineRule="exact"/>
        <w:rPr>
          <w:rFonts w:ascii="Arial" w:hAnsi="Arial" w:cs="Arial"/>
        </w:rPr>
      </w:pPr>
      <w:r w:rsidRPr="00CC7DC7">
        <w:rPr>
          <w:rFonts w:ascii="Arial" w:hAnsi="Arial" w:cs="Arial"/>
        </w:rPr>
        <w:t>Homeownership programs for veterans and military lead the special incentive category, followed by programs for educators, protectors and those with a disability.</w:t>
      </w:r>
      <w:r w:rsidR="00CC7DC7" w:rsidRPr="00CC7DC7">
        <w:rPr>
          <w:rFonts w:ascii="Arial" w:hAnsi="Arial" w:cs="Arial"/>
        </w:rPr>
        <w:t xml:space="preserve"> </w:t>
      </w:r>
    </w:p>
    <w:p w:rsidR="00CC7DC7" w:rsidRDefault="00CC7DC7" w:rsidP="00CC7DC7">
      <w:pPr>
        <w:spacing w:after="0" w:line="320" w:lineRule="exact"/>
        <w:rPr>
          <w:rFonts w:ascii="Arial" w:hAnsi="Arial" w:cs="Arial"/>
        </w:rPr>
      </w:pPr>
    </w:p>
    <w:p w:rsidR="00036247" w:rsidRPr="00036247" w:rsidRDefault="00036247" w:rsidP="00E167FD">
      <w:pPr>
        <w:spacing w:after="0" w:line="320" w:lineRule="exact"/>
        <w:rPr>
          <w:rFonts w:ascii="Arial" w:hAnsi="Arial" w:cs="Arial"/>
          <w:b/>
          <w:color w:val="000000" w:themeColor="text1"/>
        </w:rPr>
      </w:pPr>
      <w:r>
        <w:rPr>
          <w:rFonts w:ascii="Arial" w:hAnsi="Arial" w:cs="Arial"/>
          <w:b/>
          <w:color w:val="000000" w:themeColor="text1"/>
        </w:rPr>
        <w:t>Quote</w:t>
      </w:r>
    </w:p>
    <w:p w:rsidR="00036247" w:rsidRDefault="00036247" w:rsidP="00E167FD">
      <w:pPr>
        <w:spacing w:after="0" w:line="320" w:lineRule="exact"/>
        <w:rPr>
          <w:rFonts w:ascii="Arial" w:hAnsi="Arial" w:cs="Arial"/>
          <w:color w:val="000000" w:themeColor="text1"/>
        </w:rPr>
      </w:pPr>
      <w:r w:rsidRPr="00036247">
        <w:rPr>
          <w:rFonts w:ascii="Arial" w:hAnsi="Arial" w:cs="Arial"/>
          <w:color w:val="000000" w:themeColor="text1"/>
        </w:rPr>
        <w:t xml:space="preserve">“Many homebuyers, especially </w:t>
      </w:r>
      <w:proofErr w:type="spellStart"/>
      <w:r w:rsidRPr="00036247">
        <w:rPr>
          <w:rFonts w:ascii="Arial" w:hAnsi="Arial" w:cs="Arial"/>
          <w:color w:val="000000" w:themeColor="text1"/>
        </w:rPr>
        <w:t>Millennials</w:t>
      </w:r>
      <w:proofErr w:type="spellEnd"/>
      <w:r w:rsidRPr="00036247">
        <w:rPr>
          <w:rFonts w:ascii="Arial" w:hAnsi="Arial" w:cs="Arial"/>
          <w:color w:val="000000" w:themeColor="text1"/>
        </w:rPr>
        <w:t xml:space="preserve">, haven’t fully investigated their home financing options because are pessimistic about qualifying for a mortgage. Our Homeownership Program Index highlights the wide range and availability of down payment programs </w:t>
      </w:r>
      <w:r>
        <w:rPr>
          <w:rFonts w:ascii="Arial" w:hAnsi="Arial" w:cs="Arial"/>
          <w:color w:val="000000" w:themeColor="text1"/>
        </w:rPr>
        <w:t>available to today’s homebuyers,</w:t>
      </w:r>
      <w:r w:rsidRPr="00036247">
        <w:rPr>
          <w:rFonts w:ascii="Arial" w:hAnsi="Arial" w:cs="Arial"/>
          <w:color w:val="000000" w:themeColor="text1"/>
        </w:rPr>
        <w:t>” said Rob Chrane, president and CEO of Down Payment Resource. “It’s important for buyers to research down payment programs as part of their loan shopping process."</w:t>
      </w:r>
    </w:p>
    <w:p w:rsidR="00036247" w:rsidRDefault="00036247" w:rsidP="00E167FD">
      <w:pPr>
        <w:spacing w:after="0" w:line="320" w:lineRule="exact"/>
        <w:rPr>
          <w:rFonts w:ascii="Arial" w:hAnsi="Arial" w:cs="Arial"/>
          <w:color w:val="000000" w:themeColor="text1"/>
        </w:rPr>
      </w:pPr>
    </w:p>
    <w:p w:rsidR="00E167FD" w:rsidRPr="00E167FD" w:rsidRDefault="00E167FD" w:rsidP="00E167FD">
      <w:pPr>
        <w:spacing w:after="0" w:line="320" w:lineRule="exact"/>
        <w:rPr>
          <w:rFonts w:ascii="Arial" w:hAnsi="Arial" w:cs="Arial"/>
          <w:b/>
          <w:color w:val="595959" w:themeColor="text1" w:themeTint="A6"/>
        </w:rPr>
      </w:pPr>
      <w:r w:rsidRPr="00E167FD">
        <w:rPr>
          <w:rFonts w:ascii="Arial" w:hAnsi="Arial" w:cs="Arial"/>
          <w:b/>
          <w:color w:val="595959" w:themeColor="text1" w:themeTint="A6"/>
        </w:rPr>
        <w:t>About Down Payment Resource’s Homeownership Program Index</w:t>
      </w:r>
    </w:p>
    <w:p w:rsidR="00E167FD" w:rsidRPr="00E167FD" w:rsidRDefault="00E167FD" w:rsidP="00E167FD">
      <w:pPr>
        <w:spacing w:after="0" w:line="320" w:lineRule="exact"/>
        <w:rPr>
          <w:rFonts w:ascii="Arial" w:hAnsi="Arial" w:cs="Arial"/>
          <w:color w:val="595959" w:themeColor="text1" w:themeTint="A6"/>
        </w:rPr>
      </w:pPr>
      <w:r w:rsidRPr="00E167FD">
        <w:rPr>
          <w:rFonts w:ascii="Arial" w:hAnsi="Arial" w:cs="Arial"/>
          <w:color w:val="595959" w:themeColor="text1" w:themeTint="A6"/>
        </w:rPr>
        <w:t>The Homeownership Program Index (HPI) measures the availability and characteristics of down payment programs administered by state and local Housing Finance Agencies (HFAs), nonprofits and other housing organizations. It analyzed state, local and national programs available in the DOWN PAYMENT RESOURCE™ registry as of January 14, 2015.</w:t>
      </w:r>
    </w:p>
    <w:p w:rsidR="009E5C7F" w:rsidRDefault="009E5C7F" w:rsidP="009E5C7F">
      <w:pPr>
        <w:spacing w:after="0" w:line="320" w:lineRule="exact"/>
        <w:rPr>
          <w:rFonts w:ascii="Arial" w:hAnsi="Arial" w:cs="Arial"/>
        </w:rPr>
      </w:pPr>
    </w:p>
    <w:p w:rsidR="003D2583" w:rsidRDefault="003D2583" w:rsidP="003D2583">
      <w:pPr>
        <w:spacing w:after="0" w:line="320" w:lineRule="exact"/>
        <w:rPr>
          <w:rFonts w:ascii="Arial" w:hAnsi="Arial" w:cs="Arial"/>
        </w:rPr>
      </w:pPr>
    </w:p>
    <w:p w:rsidR="00837DAD" w:rsidRDefault="00837DAD" w:rsidP="002B7505">
      <w:pPr>
        <w:pStyle w:val="ListParagraph"/>
        <w:spacing w:after="0" w:line="320" w:lineRule="exact"/>
        <w:ind w:left="0"/>
        <w:rPr>
          <w:b/>
        </w:rPr>
      </w:pPr>
    </w:p>
    <w:sectPr w:rsidR="00837DAD" w:rsidSect="003D258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C14D0"/>
    <w:multiLevelType w:val="hybridMultilevel"/>
    <w:tmpl w:val="2FC86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F2676"/>
    <w:multiLevelType w:val="hybridMultilevel"/>
    <w:tmpl w:val="6ADA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72E5E"/>
    <w:multiLevelType w:val="hybridMultilevel"/>
    <w:tmpl w:val="2EA6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C3FEC"/>
    <w:multiLevelType w:val="hybridMultilevel"/>
    <w:tmpl w:val="F170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631EB"/>
    <w:multiLevelType w:val="hybridMultilevel"/>
    <w:tmpl w:val="6F023A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F50"/>
    <w:rsid w:val="00010E73"/>
    <w:rsid w:val="00036247"/>
    <w:rsid w:val="000C69C4"/>
    <w:rsid w:val="000C7F50"/>
    <w:rsid w:val="00110306"/>
    <w:rsid w:val="002B7505"/>
    <w:rsid w:val="0031483A"/>
    <w:rsid w:val="003A4E7B"/>
    <w:rsid w:val="003D2583"/>
    <w:rsid w:val="003F0780"/>
    <w:rsid w:val="005161ED"/>
    <w:rsid w:val="006962FF"/>
    <w:rsid w:val="006D7C63"/>
    <w:rsid w:val="00822AF7"/>
    <w:rsid w:val="00837DAD"/>
    <w:rsid w:val="0091632E"/>
    <w:rsid w:val="00920A32"/>
    <w:rsid w:val="009E5C7F"/>
    <w:rsid w:val="00A0095E"/>
    <w:rsid w:val="00A604D9"/>
    <w:rsid w:val="00B57597"/>
    <w:rsid w:val="00C916E3"/>
    <w:rsid w:val="00CC7DC7"/>
    <w:rsid w:val="00E167FD"/>
    <w:rsid w:val="00E66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C63"/>
    <w:pPr>
      <w:ind w:left="720"/>
      <w:contextualSpacing/>
    </w:pPr>
  </w:style>
  <w:style w:type="paragraph" w:styleId="BalloonText">
    <w:name w:val="Balloon Text"/>
    <w:basedOn w:val="Normal"/>
    <w:link w:val="BalloonTextChar"/>
    <w:uiPriority w:val="99"/>
    <w:semiHidden/>
    <w:unhideWhenUsed/>
    <w:rsid w:val="003D2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583"/>
    <w:rPr>
      <w:rFonts w:ascii="Tahoma" w:hAnsi="Tahoma" w:cs="Tahoma"/>
      <w:sz w:val="16"/>
      <w:szCs w:val="16"/>
    </w:rPr>
  </w:style>
  <w:style w:type="character" w:styleId="Hyperlink">
    <w:name w:val="Hyperlink"/>
    <w:basedOn w:val="DefaultParagraphFont"/>
    <w:uiPriority w:val="99"/>
    <w:unhideWhenUsed/>
    <w:rsid w:val="003D2583"/>
    <w:rPr>
      <w:color w:val="0000FF"/>
      <w:u w:val="single"/>
    </w:rPr>
  </w:style>
  <w:style w:type="paragraph" w:styleId="Header">
    <w:name w:val="header"/>
    <w:basedOn w:val="Normal"/>
    <w:link w:val="HeaderChar"/>
    <w:uiPriority w:val="99"/>
    <w:unhideWhenUsed/>
    <w:rsid w:val="003D2583"/>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3D258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C63"/>
    <w:pPr>
      <w:ind w:left="720"/>
      <w:contextualSpacing/>
    </w:pPr>
  </w:style>
  <w:style w:type="paragraph" w:styleId="BalloonText">
    <w:name w:val="Balloon Text"/>
    <w:basedOn w:val="Normal"/>
    <w:link w:val="BalloonTextChar"/>
    <w:uiPriority w:val="99"/>
    <w:semiHidden/>
    <w:unhideWhenUsed/>
    <w:rsid w:val="003D2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583"/>
    <w:rPr>
      <w:rFonts w:ascii="Tahoma" w:hAnsi="Tahoma" w:cs="Tahoma"/>
      <w:sz w:val="16"/>
      <w:szCs w:val="16"/>
    </w:rPr>
  </w:style>
  <w:style w:type="character" w:styleId="Hyperlink">
    <w:name w:val="Hyperlink"/>
    <w:basedOn w:val="DefaultParagraphFont"/>
    <w:uiPriority w:val="99"/>
    <w:unhideWhenUsed/>
    <w:rsid w:val="003D2583"/>
    <w:rPr>
      <w:color w:val="0000FF"/>
      <w:u w:val="single"/>
    </w:rPr>
  </w:style>
  <w:style w:type="paragraph" w:styleId="Header">
    <w:name w:val="header"/>
    <w:basedOn w:val="Normal"/>
    <w:link w:val="HeaderChar"/>
    <w:uiPriority w:val="99"/>
    <w:unhideWhenUsed/>
    <w:rsid w:val="003D2583"/>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3D2583"/>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63190662">
      <w:bodyDiv w:val="1"/>
      <w:marLeft w:val="0"/>
      <w:marRight w:val="0"/>
      <w:marTop w:val="0"/>
      <w:marBottom w:val="0"/>
      <w:divBdr>
        <w:top w:val="none" w:sz="0" w:space="0" w:color="auto"/>
        <w:left w:val="none" w:sz="0" w:space="0" w:color="auto"/>
        <w:bottom w:val="none" w:sz="0" w:space="0" w:color="auto"/>
        <w:right w:val="none" w:sz="0" w:space="0" w:color="auto"/>
      </w:divBdr>
    </w:div>
    <w:div w:id="5495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wnpmtresourc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hell@downpaymentresource.com"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2</cp:revision>
  <dcterms:created xsi:type="dcterms:W3CDTF">2015-02-03T19:11:00Z</dcterms:created>
  <dcterms:modified xsi:type="dcterms:W3CDTF">2015-02-03T19:11:00Z</dcterms:modified>
</cp:coreProperties>
</file>